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slim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201 x 66 x 241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4007841012052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4 m (22 m²)</w:t>
      </w:r>
      <w:br/>
      <w:r>
        <w:rPr/>
        <w:t xml:space="preserve">• Portée tangentielle: r = 8 m (89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648 lm</w:t>
      </w:r>
      <w:br/>
      <w:r>
        <w:rPr/>
        <w:t xml:space="preserve">• Flux lumineux mesure (360°): 648 lm</w:t>
      </w:r>
      <w:br/>
      <w:r>
        <w:rPr/>
        <w:t xml:space="preserve">• Efficacité totale du produit: 90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2 s – 70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7,2 W</w:t>
      </w:r>
      <w:br/>
      <w:r>
        <w:rPr/>
        <w:t xml:space="preserve">• Indice de rendu des couleurs IRC: = 82</w:t>
      </w:r>
      <w:br/>
      <w:r>
        <w:rPr/>
        <w:t xml:space="preserve">• Hauteur de montage optimale: 2,2 m</w:t>
      </w:r>
      <w:br/>
      <w:r>
        <w:rPr/>
        <w:t xml:space="preserve">• Angle de détection: 160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012052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slim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2026-05-22T01:02:12+02:00</dcterms:created>
  <dcterms:modified xsi:type="dcterms:W3CDTF">2026-05-22T01:02:12+02:00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